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D6D" w:rsidRPr="003C3C30" w:rsidRDefault="00616D6D" w:rsidP="00616D6D">
      <w:pPr>
        <w:pStyle w:val="Normal-Dato"/>
      </w:pPr>
      <w:bookmarkStart w:id="0" w:name="bmkOversætDATO"/>
      <w:r>
        <w:t xml:space="preserve">DATO </w:t>
      </w:r>
      <w:bookmarkEnd w:id="0"/>
      <w:r>
        <w:t xml:space="preserve">/ </w:t>
      </w:r>
      <w:r w:rsidR="00B411DF" w:rsidRPr="007A30BB">
        <w:rPr>
          <w:b w:val="0"/>
        </w:rPr>
        <w:fldChar w:fldCharType="begin"/>
      </w:r>
      <w:r w:rsidRPr="007A30BB">
        <w:rPr>
          <w:b w:val="0"/>
        </w:rPr>
        <w:instrText xml:space="preserve"> CREATEDATE  \@ "dd.MM.yyyy"  \* MERGEFORMAT </w:instrText>
      </w:r>
      <w:r w:rsidR="00B411DF" w:rsidRPr="007A30BB">
        <w:rPr>
          <w:b w:val="0"/>
        </w:rPr>
        <w:fldChar w:fldCharType="separate"/>
      </w:r>
      <w:r w:rsidR="00AB7045">
        <w:rPr>
          <w:b w:val="0"/>
          <w:noProof/>
        </w:rPr>
        <w:t>17</w:t>
      </w:r>
      <w:r w:rsidR="001F37FF">
        <w:rPr>
          <w:b w:val="0"/>
          <w:noProof/>
        </w:rPr>
        <w:t>.09</w:t>
      </w:r>
      <w:r w:rsidR="000206CF">
        <w:rPr>
          <w:b w:val="0"/>
          <w:noProof/>
        </w:rPr>
        <w:t>.2024</w:t>
      </w:r>
      <w:r w:rsidR="00B411DF" w:rsidRPr="007A30BB">
        <w:rPr>
          <w:b w:val="0"/>
        </w:rPr>
        <w:fldChar w:fldCharType="end"/>
      </w:r>
    </w:p>
    <w:p w:rsidR="00C5507C" w:rsidRPr="00883AC3" w:rsidRDefault="00C5507C" w:rsidP="00C5507C">
      <w:pPr>
        <w:pStyle w:val="Normal-Dato"/>
      </w:pPr>
      <w:bookmarkStart w:id="1" w:name="DIFbmkADInitials"/>
      <w:r w:rsidRPr="00883AC3">
        <w:t xml:space="preserve">REF / </w:t>
      </w:r>
      <w:r w:rsidR="000206CF">
        <w:rPr>
          <w:b w:val="0"/>
        </w:rPr>
        <w:t>HH</w:t>
      </w:r>
    </w:p>
    <w:p w:rsidR="00616D6D" w:rsidRDefault="00616D6D" w:rsidP="00616D6D">
      <w:pPr>
        <w:pStyle w:val="Normal-Dato"/>
      </w:pPr>
      <w:bookmarkStart w:id="2" w:name="DIFbmkFldJournal"/>
      <w:bookmarkEnd w:id="1"/>
    </w:p>
    <w:bookmarkEnd w:id="2"/>
    <w:tbl>
      <w:tblPr>
        <w:tblStyle w:val="Tabel-Gitter"/>
        <w:tblpPr w:leftFromText="141" w:rightFromText="141" w:vertAnchor="text" w:tblpY="80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</w:tblGrid>
      <w:tr w:rsidR="00616D6D" w:rsidRPr="00C97C73">
        <w:trPr>
          <w:trHeight w:val="1120"/>
        </w:trPr>
        <w:tc>
          <w:tcPr>
            <w:tcW w:w="7560" w:type="dxa"/>
          </w:tcPr>
          <w:p w:rsidR="00616D6D" w:rsidRPr="00C97C73" w:rsidRDefault="00616D6D" w:rsidP="00616D6D">
            <w:pPr>
              <w:pStyle w:val="Normal-Dato"/>
            </w:pPr>
          </w:p>
        </w:tc>
      </w:tr>
      <w:tr w:rsidR="00616D6D">
        <w:trPr>
          <w:trHeight w:hRule="exact" w:val="1332"/>
        </w:trPr>
        <w:tc>
          <w:tcPr>
            <w:tcW w:w="7560" w:type="dxa"/>
          </w:tcPr>
          <w:p w:rsidR="00616D6D" w:rsidRPr="00D06CB7" w:rsidRDefault="00616D6D" w:rsidP="00616D6D">
            <w:pPr>
              <w:pStyle w:val="Normal-Notat"/>
              <w:rPr>
                <w:sz w:val="64"/>
                <w:szCs w:val="64"/>
              </w:rPr>
            </w:pPr>
            <w:r w:rsidRPr="00D06CB7">
              <w:rPr>
                <w:sz w:val="64"/>
                <w:szCs w:val="64"/>
              </w:rPr>
              <w:t>NOTAT</w:t>
            </w:r>
          </w:p>
          <w:p w:rsidR="00616D6D" w:rsidRDefault="00616D6D" w:rsidP="00616D6D"/>
        </w:tc>
      </w:tr>
    </w:tbl>
    <w:p w:rsidR="00616D6D" w:rsidRDefault="00616D6D" w:rsidP="00A6413D"/>
    <w:p w:rsidR="00616D6D" w:rsidRDefault="00616D6D" w:rsidP="00A6413D"/>
    <w:p w:rsidR="00923F75" w:rsidRDefault="000206CF" w:rsidP="00A6413D">
      <w:pPr>
        <w:rPr>
          <w:b/>
        </w:rPr>
      </w:pPr>
      <w:r>
        <w:rPr>
          <w:b/>
        </w:rPr>
        <w:t>Orientering om implementering af Filmaftale 2024-2027 – ”mindre sælgende titler”</w:t>
      </w:r>
    </w:p>
    <w:p w:rsidR="000206CF" w:rsidRDefault="000206CF" w:rsidP="00A6413D">
      <w:r>
        <w:t>Af Filmaftale 2024-2027 fremgår:</w:t>
      </w:r>
    </w:p>
    <w:p w:rsidR="000206CF" w:rsidRDefault="000206CF" w:rsidP="00A6413D"/>
    <w:p w:rsidR="000206CF" w:rsidRPr="000206CF" w:rsidRDefault="000206CF" w:rsidP="000206CF">
      <w:pPr>
        <w:rPr>
          <w:i/>
        </w:rPr>
      </w:pPr>
      <w:r>
        <w:t>”</w:t>
      </w:r>
      <w:r w:rsidRPr="000206CF">
        <w:rPr>
          <w:i/>
        </w:rPr>
        <w:t>Som en del af betingelserne for filmstøtten skal producenten bag den enkelte film</w:t>
      </w:r>
    </w:p>
    <w:p w:rsidR="000206CF" w:rsidRPr="005A0C66" w:rsidRDefault="000206CF" w:rsidP="000206CF">
      <w:pPr>
        <w:rPr>
          <w:i/>
        </w:rPr>
      </w:pPr>
      <w:r w:rsidRPr="000206CF">
        <w:rPr>
          <w:i/>
        </w:rPr>
        <w:t>i samarbejde med distributør/biograf sikre, at mi</w:t>
      </w:r>
      <w:r w:rsidR="005A0C66">
        <w:rPr>
          <w:i/>
        </w:rPr>
        <w:t>ndre sælgende filmtitler hurti</w:t>
      </w:r>
      <w:r w:rsidRPr="000206CF">
        <w:rPr>
          <w:i/>
        </w:rPr>
        <w:t xml:space="preserve">gere kan blive tilgængelige for publikum på de </w:t>
      </w:r>
      <w:r w:rsidR="005A0C66">
        <w:rPr>
          <w:i/>
        </w:rPr>
        <w:t xml:space="preserve">digitale platforme, herunder på </w:t>
      </w:r>
      <w:r w:rsidRPr="000206CF">
        <w:rPr>
          <w:i/>
        </w:rPr>
        <w:t>tv-stationerne.</w:t>
      </w:r>
      <w:r>
        <w:t>”</w:t>
      </w:r>
    </w:p>
    <w:p w:rsidR="000206CF" w:rsidRDefault="000206CF" w:rsidP="000206CF"/>
    <w:p w:rsidR="004C6F28" w:rsidRDefault="000206CF" w:rsidP="000206CF">
      <w:r>
        <w:t>Implementeringen af denne del af filmaftalen har en direkte sammenhæng</w:t>
      </w:r>
      <w:r w:rsidR="001019DD">
        <w:t xml:space="preserve"> til</w:t>
      </w:r>
      <w:r>
        <w:t xml:space="preserve"> filmaftalens bestemmelse vedr. Tv-stationernes forpligtelse. Dette fordi definitionen af ”mindre sælgende”</w:t>
      </w:r>
      <w:r w:rsidR="001019DD">
        <w:t xml:space="preserve"> titler</w:t>
      </w:r>
      <w:r>
        <w:t xml:space="preserve"> skal v</w:t>
      </w:r>
      <w:r w:rsidR="001019DD">
        <w:t>ære ens i begge tilfælde</w:t>
      </w:r>
      <w:r>
        <w:t>.</w:t>
      </w:r>
      <w:r w:rsidR="00C77ADF">
        <w:t xml:space="preserve"> Derfor har endelig implementering afventet forhandlinger mellem Tv-stationerne og Producentforeningen, der nu er afsluttede fsva. spillefilm.</w:t>
      </w:r>
      <w:r w:rsidR="00055E3F">
        <w:t xml:space="preserve"> </w:t>
      </w:r>
    </w:p>
    <w:p w:rsidR="004C6F28" w:rsidRDefault="004C6F28" w:rsidP="000206CF"/>
    <w:p w:rsidR="000206CF" w:rsidRDefault="000206CF" w:rsidP="000206CF">
      <w:pPr>
        <w:rPr>
          <w:b/>
        </w:rPr>
      </w:pPr>
      <w:bookmarkStart w:id="3" w:name="_GoBack"/>
      <w:bookmarkEnd w:id="3"/>
      <w:r>
        <w:rPr>
          <w:b/>
        </w:rPr>
        <w:t>Implementering af ”mindre sælgende titler” støttevilkår</w:t>
      </w:r>
    </w:p>
    <w:p w:rsidR="000206CF" w:rsidRDefault="000206CF" w:rsidP="000206CF">
      <w:r>
        <w:t xml:space="preserve">Implementering af </w:t>
      </w:r>
      <w:r w:rsidR="00C77ADF">
        <w:t xml:space="preserve">ovenstående del af filmaftalen </w:t>
      </w:r>
      <w:r w:rsidR="00CC67B1">
        <w:t>i støttevilkår forudsætter en række definitioner. De er landet som følger</w:t>
      </w:r>
      <w:r w:rsidR="00D44B94">
        <w:t>, og udgør model for implementering i støttevilkår</w:t>
      </w:r>
      <w:r w:rsidR="00CC67B1">
        <w:t>:</w:t>
      </w:r>
    </w:p>
    <w:p w:rsidR="00CC67B1" w:rsidRDefault="00CC67B1" w:rsidP="000206CF"/>
    <w:p w:rsidR="00CC67B1" w:rsidRPr="00CC67B1" w:rsidRDefault="00CC67B1" w:rsidP="00CC67B1">
      <w:pPr>
        <w:pStyle w:val="Listeafsnit"/>
        <w:numPr>
          <w:ilvl w:val="0"/>
          <w:numId w:val="1"/>
        </w:numPr>
        <w:rPr>
          <w:b/>
        </w:rPr>
      </w:pPr>
      <w:r w:rsidRPr="00CC67B1">
        <w:rPr>
          <w:u w:val="single"/>
        </w:rPr>
        <w:t>‘Mindre sælgende film’</w:t>
      </w:r>
      <w:r w:rsidRPr="00CC67B1">
        <w:rPr>
          <w:b/>
        </w:rPr>
        <w:t xml:space="preserve"> </w:t>
      </w:r>
      <w:r w:rsidRPr="00CC67B1">
        <w:t>betyder film, der ved tidspunktet for produktionsstøtte - estimeres af DFI til max. 20.000 publikummer.</w:t>
      </w:r>
      <w:r w:rsidRPr="00CC67B1">
        <w:rPr>
          <w:b/>
        </w:rPr>
        <w:t xml:space="preserve"> </w:t>
      </w:r>
    </w:p>
    <w:p w:rsidR="00CC67B1" w:rsidRPr="00CC67B1" w:rsidRDefault="00CC67B1" w:rsidP="00CC67B1">
      <w:pPr>
        <w:rPr>
          <w:b/>
        </w:rPr>
      </w:pPr>
    </w:p>
    <w:p w:rsidR="00CC67B1" w:rsidRPr="00CC67B1" w:rsidRDefault="00CC67B1" w:rsidP="00CC67B1">
      <w:pPr>
        <w:pStyle w:val="Listeafsnit"/>
        <w:numPr>
          <w:ilvl w:val="0"/>
          <w:numId w:val="1"/>
        </w:numPr>
        <w:rPr>
          <w:b/>
        </w:rPr>
      </w:pPr>
      <w:r w:rsidRPr="00CC67B1">
        <w:rPr>
          <w:u w:val="single"/>
        </w:rPr>
        <w:t>‘Hurtig tilgængelighed’</w:t>
      </w:r>
      <w:r w:rsidRPr="00CC67B1">
        <w:rPr>
          <w:b/>
        </w:rPr>
        <w:t xml:space="preserve"> </w:t>
      </w:r>
      <w:r w:rsidRPr="00CC67B1">
        <w:t>er, når filmen er digitalt tilgængelig hjemmefra meget tidligere end gennemsnittet for danske film – hvilket betyder, at filmen skal være tilgængelig senest 75 dage efter biopremieren på digitale platforme (køb, leje og streaming), som anvendes af målgruppen – hvilket ift. streaming er markant hurtigere end gns. for dansk film. I fald der er indgået aftale med free tv skal filmen synligt tilgængeliggøres på free-tv (digitalt og flow) senest 210 dage efter biografpremieren jf. standardaftalen indgået mellem tv-stationerne, producentforeningen og distributørerne.</w:t>
      </w:r>
    </w:p>
    <w:p w:rsidR="00CC67B1" w:rsidRPr="00CC67B1" w:rsidRDefault="00CC67B1" w:rsidP="00CC67B1">
      <w:pPr>
        <w:rPr>
          <w:b/>
        </w:rPr>
      </w:pPr>
    </w:p>
    <w:p w:rsidR="00CC67B1" w:rsidRPr="00CC67B1" w:rsidRDefault="00CC67B1" w:rsidP="00CC67B1">
      <w:pPr>
        <w:pStyle w:val="Listeafsnit"/>
        <w:numPr>
          <w:ilvl w:val="0"/>
          <w:numId w:val="1"/>
        </w:numPr>
        <w:rPr>
          <w:b/>
        </w:rPr>
      </w:pPr>
      <w:r w:rsidRPr="00CC67B1">
        <w:rPr>
          <w:u w:val="single"/>
        </w:rPr>
        <w:t>‘Digitale platforme’</w:t>
      </w:r>
      <w:r w:rsidRPr="00CC67B1">
        <w:rPr>
          <w:b/>
        </w:rPr>
        <w:t xml:space="preserve"> </w:t>
      </w:r>
      <w:r w:rsidRPr="00CC67B1">
        <w:t>forstås i denne sammenhæng, som digitale platforme, so</w:t>
      </w:r>
      <w:r>
        <w:t>m publikum kan tilgå via enkelt</w:t>
      </w:r>
      <w:r w:rsidRPr="00CC67B1">
        <w:t>vis betaling for digital køb og leje af en film hjemmefra, via abonnementsbetaling (Premium SVOD og SVOD) eller gratis (A-VOD, F-VOD, H-VOD, Filmstriben etc.). Platformen skal have en udbredelse og anvendelse i befolkningen på mindst 10 %, generelt udbyde film og serier, og der opfordres til sammenfald i publikumsprofil for den enkelte film. Sociale medier (Youtube etc.) forstås ikke i denne sammenhæng som en digital distributionsplatform for film og serier.</w:t>
      </w:r>
    </w:p>
    <w:p w:rsidR="00CC67B1" w:rsidRPr="00CC67B1" w:rsidRDefault="00CC67B1" w:rsidP="00CC67B1">
      <w:pPr>
        <w:pStyle w:val="Listeafsnit"/>
        <w:rPr>
          <w:b/>
        </w:rPr>
      </w:pPr>
    </w:p>
    <w:p w:rsidR="00CC67B1" w:rsidRDefault="00CC67B1" w:rsidP="00CC67B1"/>
    <w:p w:rsidR="00CC67B1" w:rsidRDefault="00CC67B1" w:rsidP="00CC67B1">
      <w:r>
        <w:t>De ovenstående definitioner udgør</w:t>
      </w:r>
      <w:r w:rsidR="00FC495E">
        <w:t xml:space="preserve"> som sagt</w:t>
      </w:r>
      <w:r>
        <w:t xml:space="preserve"> den model, Filminstituttet vil implementere i støttevilkår og praktisere, for at leve op til den politiske ambition i Filmaftalen. </w:t>
      </w:r>
    </w:p>
    <w:p w:rsidR="001F37FF" w:rsidRDefault="001F37FF" w:rsidP="00CC67B1"/>
    <w:p w:rsidR="001F37FF" w:rsidRDefault="001F37FF" w:rsidP="00CC67B1">
      <w:r>
        <w:t xml:space="preserve">Modellen har en mulighed for en ”second opinion” indbygget. </w:t>
      </w:r>
      <w:r w:rsidR="00FA2BE6">
        <w:t xml:space="preserve">Det vil sige, </w:t>
      </w:r>
      <w:r>
        <w:t>at er der markant uenighed omkring DFI’s og producentens estimat for billetsalg</w:t>
      </w:r>
      <w:r w:rsidR="00FA2BE6">
        <w:t>e</w:t>
      </w:r>
      <w:r>
        <w:t xml:space="preserve">t på produktionsstøttetidspunktet, kan denne vurdering efterprøves af en tredjepart på DFI’s regning. </w:t>
      </w:r>
      <w:r w:rsidR="00A269F1">
        <w:t>Der ansættes eksterne til at udføre disse</w:t>
      </w:r>
      <w:r w:rsidR="00C10B13">
        <w:t xml:space="preserve"> vurderinger på freelancebasis.</w:t>
      </w:r>
    </w:p>
    <w:p w:rsidR="00CC67B1" w:rsidRDefault="00CC67B1" w:rsidP="00CC67B1"/>
    <w:p w:rsidR="00CC67B1" w:rsidRDefault="00CC67B1" w:rsidP="00CC67B1">
      <w:r>
        <w:t>Til modellen er det relevant at nævne, at der vil være følgende fagligt begrundede undtagelser:</w:t>
      </w:r>
    </w:p>
    <w:p w:rsidR="00CC67B1" w:rsidRDefault="00CC67B1" w:rsidP="00CC67B1"/>
    <w:p w:rsidR="00CC67B1" w:rsidRPr="00CC67B1" w:rsidRDefault="00CC67B1" w:rsidP="00CC67B1">
      <w:pPr>
        <w:numPr>
          <w:ilvl w:val="0"/>
          <w:numId w:val="2"/>
        </w:numPr>
      </w:pPr>
      <w:r w:rsidRPr="00CC67B1">
        <w:t>Filmen udtages til Biograf Klub Danmark</w:t>
      </w:r>
      <w:r w:rsidR="00FC495E" w:rsidRPr="00CC67B1">
        <w:t xml:space="preserve"> eller lignende kuratering, som forventes at styrke potentialet betragteligt</w:t>
      </w:r>
    </w:p>
    <w:p w:rsidR="00CC67B1" w:rsidRPr="00CC67B1" w:rsidRDefault="00CC67B1" w:rsidP="00CC67B1">
      <w:pPr>
        <w:numPr>
          <w:ilvl w:val="0"/>
          <w:numId w:val="2"/>
        </w:numPr>
      </w:pPr>
      <w:r w:rsidRPr="00CC67B1">
        <w:rPr>
          <w:bCs/>
        </w:rPr>
        <w:t xml:space="preserve">Film for børn og unge har mulighed for at udskyde den digitale tilgængeliggørelse </w:t>
      </w:r>
      <w:r w:rsidRPr="00CC67B1">
        <w:t xml:space="preserve">med op til 30 dage for at tilpasse strategien til ferier etc. Filmen skal dog fortsat være digitalt tilgængelig på digitalt leje/køb </w:t>
      </w:r>
      <w:r w:rsidRPr="00CC67B1">
        <w:rPr>
          <w:u w:val="single"/>
        </w:rPr>
        <w:t>og</w:t>
      </w:r>
      <w:r w:rsidRPr="00CC67B1">
        <w:t xml:space="preserve"> </w:t>
      </w:r>
      <w:r w:rsidRPr="00CC67B1">
        <w:rPr>
          <w:i/>
          <w:iCs/>
        </w:rPr>
        <w:t>abonnementsbetaling</w:t>
      </w:r>
      <w:r w:rsidRPr="00CC67B1">
        <w:t xml:space="preserve"> (Premium SVOD og SVOD) eller </w:t>
      </w:r>
      <w:r w:rsidRPr="00CC67B1">
        <w:rPr>
          <w:i/>
          <w:iCs/>
        </w:rPr>
        <w:t>gratis</w:t>
      </w:r>
      <w:r w:rsidRPr="00CC67B1">
        <w:t xml:space="preserve"> (Free-TV, AVOD, F-VOD, Filmstriben etc.) </w:t>
      </w:r>
      <w:r w:rsidRPr="00CC67B1">
        <w:rPr>
          <w:bCs/>
        </w:rPr>
        <w:t>senest 105 dage efter biografpremieren</w:t>
      </w:r>
      <w:r w:rsidRPr="00CC67B1">
        <w:t>.</w:t>
      </w:r>
    </w:p>
    <w:p w:rsidR="00CC67B1" w:rsidRPr="00CC67B1" w:rsidRDefault="00CC67B1" w:rsidP="00CC67B1">
      <w:pPr>
        <w:numPr>
          <w:ilvl w:val="0"/>
          <w:numId w:val="2"/>
        </w:numPr>
      </w:pPr>
      <w:r w:rsidRPr="00CC67B1">
        <w:rPr>
          <w:bCs/>
        </w:rPr>
        <w:t xml:space="preserve">Film med tydelig sæsonvinkel </w:t>
      </w:r>
      <w:r w:rsidRPr="00CC67B1">
        <w:t xml:space="preserve">- fx jul eller halloween – kan fritages for regulering, efter vurdering af DFI. Film med sæsonvinkel skal i stedet indsende en forpligtigende distributionsstrategi til DFI, som sikrer en så hurtig og meningsfuld digital tilgængeliggørelse som muligt. </w:t>
      </w:r>
    </w:p>
    <w:p w:rsidR="00CC67B1" w:rsidRPr="00CC67B1" w:rsidRDefault="00CC67B1" w:rsidP="00CC67B1">
      <w:pPr>
        <w:rPr>
          <w:b/>
        </w:rPr>
      </w:pPr>
    </w:p>
    <w:sectPr w:rsidR="00CC67B1" w:rsidRPr="00CC67B1" w:rsidSect="00057CCA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527" w:right="3175" w:bottom="1928" w:left="1134" w:header="278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6CF" w:rsidRDefault="000206CF" w:rsidP="00CC3C7D">
      <w:r>
        <w:separator/>
      </w:r>
    </w:p>
  </w:endnote>
  <w:endnote w:type="continuationSeparator" w:id="0">
    <w:p w:rsidR="000206CF" w:rsidRDefault="000206CF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D5" w:rsidRDefault="00CC36D5" w:rsidP="009D7395">
    <w:pPr>
      <w:pStyle w:val="Sidehoved"/>
    </w:pPr>
  </w:p>
  <w:p w:rsidR="00CC36D5" w:rsidRDefault="00CC36D5" w:rsidP="00CD4F8B">
    <w:pPr>
      <w:pStyle w:val="Normal-Lokaladresse"/>
      <w:framePr w:wrap="around" w:y="15282"/>
    </w:pPr>
    <w:bookmarkStart w:id="5" w:name="bmkNaverland"/>
    <w:bookmarkStart w:id="6" w:name="bmkoffName"/>
    <w:bookmarkEnd w:id="5"/>
    <w:bookmarkEnd w:id="6"/>
  </w:p>
  <w:p w:rsidR="00CC36D5" w:rsidRDefault="00CC36D5" w:rsidP="00CD4F8B">
    <w:pPr>
      <w:pStyle w:val="Normal-Lokaladresse"/>
      <w:framePr w:wrap="around" w:y="15282"/>
    </w:pPr>
    <w:bookmarkStart w:id="7" w:name="bmkOffStreet"/>
    <w:bookmarkEnd w:id="7"/>
  </w:p>
  <w:p w:rsidR="00CC67B1" w:rsidRPr="00DE3CFE" w:rsidRDefault="00CC36D5" w:rsidP="00CC67B1">
    <w:pPr>
      <w:pStyle w:val="Normal-Lokaladresse"/>
      <w:framePr w:wrap="around" w:y="15282"/>
    </w:pPr>
    <w:bookmarkStart w:id="8" w:name="bmkOffZipCode"/>
    <w:bookmarkEnd w:id="8"/>
    <w:r>
      <w:t xml:space="preserve"> </w:t>
    </w:r>
    <w:bookmarkStart w:id="9" w:name="bmkOffCity"/>
    <w:bookmarkEnd w:id="9"/>
  </w:p>
  <w:p w:rsidR="00CC36D5" w:rsidRPr="00DE3CFE" w:rsidRDefault="00CC36D5" w:rsidP="00131E4C">
    <w:pPr>
      <w:pStyle w:val="Normal-Lokaladresse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6CF" w:rsidRDefault="000206CF" w:rsidP="00CC3C7D">
      <w:r>
        <w:separator/>
      </w:r>
    </w:p>
  </w:footnote>
  <w:footnote w:type="continuationSeparator" w:id="0">
    <w:p w:rsidR="000206CF" w:rsidRDefault="000206CF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D5" w:rsidRDefault="004C6F28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95360" o:spid="_x0000_s2106" type="#_x0000_t75" style="position:absolute;left:0;text-align:left;margin-left:0;margin-top:0;width:116.4pt;height:718.65pt;z-index:-251655680;mso-position-horizontal:center;mso-position-horizontal-relative:margin;mso-position-vertical:center;mso-position-vertical-relative:margin" o:allowincell="f">
          <v:imagedata r:id="rId1" o:title="DFI_logo_Notat_side1"/>
          <w10:wrap anchorx="margin" anchory="margin"/>
        </v:shape>
      </w:pict>
    </w:r>
    <w:r w:rsidR="00A308B4"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3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D5" w:rsidRPr="00040CB0" w:rsidRDefault="00A308B4" w:rsidP="00040CB0">
    <w:pPr>
      <w:pStyle w:val="Sidefod"/>
      <w:spacing w:line="240" w:lineRule="atLeast"/>
      <w:rPr>
        <w:szCs w:val="19"/>
      </w:rPr>
    </w:pPr>
    <w:r>
      <w:rPr>
        <w:noProof/>
        <w:szCs w:val="19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2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36D5" w:rsidRPr="00FC3EF8" w:rsidRDefault="00CC36D5" w:rsidP="006C3CC2">
    <w:pPr>
      <w:pStyle w:val="Sidehoved"/>
    </w:pPr>
    <w:bookmarkStart w:id="4" w:name="bmkOversætSide"/>
    <w:r w:rsidRPr="00FC3EF8">
      <w:t>Side</w:t>
    </w:r>
    <w:bookmarkEnd w:id="4"/>
    <w:r w:rsidRPr="00FC3EF8">
      <w:t xml:space="preserve"> </w:t>
    </w:r>
    <w:r w:rsidR="00A54E29">
      <w:fldChar w:fldCharType="begin"/>
    </w:r>
    <w:r w:rsidR="00A54E29">
      <w:instrText xml:space="preserve"> PAGE </w:instrText>
    </w:r>
    <w:r w:rsidR="00A54E29">
      <w:fldChar w:fldCharType="separate"/>
    </w:r>
    <w:r w:rsidR="00AB7045">
      <w:rPr>
        <w:noProof/>
      </w:rPr>
      <w:t>2</w:t>
    </w:r>
    <w:r w:rsidR="00A54E29">
      <w:rPr>
        <w:noProof/>
      </w:rPr>
      <w:fldChar w:fldCharType="end"/>
    </w:r>
    <w:r w:rsidRPr="00FC3EF8">
      <w:t xml:space="preserve"> / </w:t>
    </w:r>
    <w:fldSimple w:instr=" NUMPAGES ">
      <w:r w:rsidR="00AB7045">
        <w:rPr>
          <w:noProof/>
        </w:rPr>
        <w:t>2</w:t>
      </w:r>
    </w:fldSimple>
  </w:p>
  <w:p w:rsidR="00CC36D5" w:rsidRDefault="00CC36D5">
    <w:pPr>
      <w:pStyle w:val="Sidehoved"/>
    </w:pPr>
  </w:p>
  <w:p w:rsidR="00CC36D5" w:rsidRDefault="00CC36D5">
    <w:pPr>
      <w:pStyle w:val="Sidehoved"/>
    </w:pPr>
  </w:p>
  <w:p w:rsidR="00CC36D5" w:rsidRDefault="00CC36D5">
    <w:pPr>
      <w:pStyle w:val="Sidehoved"/>
    </w:pPr>
  </w:p>
  <w:p w:rsidR="00CC36D5" w:rsidRDefault="00CC36D5">
    <w:pPr>
      <w:pStyle w:val="Sidehoved"/>
    </w:pPr>
  </w:p>
  <w:p w:rsidR="00CC36D5" w:rsidRDefault="00CC36D5">
    <w:pPr>
      <w:pStyle w:val="Sidehoved"/>
    </w:pPr>
  </w:p>
  <w:p w:rsidR="00CC36D5" w:rsidRDefault="00CC36D5">
    <w:pPr>
      <w:pStyle w:val="Sidehoved"/>
    </w:pPr>
  </w:p>
  <w:p w:rsidR="00CC36D5" w:rsidRDefault="00CC36D5">
    <w:pPr>
      <w:pStyle w:val="Sidehoved"/>
    </w:pPr>
  </w:p>
  <w:p w:rsidR="00CC36D5" w:rsidRDefault="00CC36D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D5" w:rsidRDefault="004C6F28" w:rsidP="00A308B4">
    <w:pPr>
      <w:pStyle w:val="Sidehoved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95359" o:spid="_x0000_s2105" type="#_x0000_t75" style="position:absolute;left:0;text-align:left;margin-left:408.15pt;margin-top:1.95pt;width:129.9pt;height:802.1pt;z-index:-251656704;mso-position-horizontal-relative:margin;mso-position-vertical-relative:margin" o:allowincell="f">
          <v:imagedata r:id="rId1" o:title="DFI_logo_Notat_sid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C0A2E"/>
    <w:multiLevelType w:val="hybridMultilevel"/>
    <w:tmpl w:val="E1F871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265C6"/>
    <w:multiLevelType w:val="hybridMultilevel"/>
    <w:tmpl w:val="383E16FE"/>
    <w:lvl w:ilvl="0" w:tplc="51E40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ACA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EB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C2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386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040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47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BE3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A21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10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CF"/>
    <w:rsid w:val="000206CF"/>
    <w:rsid w:val="0003400B"/>
    <w:rsid w:val="00040CB0"/>
    <w:rsid w:val="00055E3F"/>
    <w:rsid w:val="00057CCA"/>
    <w:rsid w:val="000E4831"/>
    <w:rsid w:val="001019DD"/>
    <w:rsid w:val="00131E4C"/>
    <w:rsid w:val="00136CF0"/>
    <w:rsid w:val="00145F0E"/>
    <w:rsid w:val="00174329"/>
    <w:rsid w:val="00185126"/>
    <w:rsid w:val="001A720C"/>
    <w:rsid w:val="001A7E9F"/>
    <w:rsid w:val="001B02AC"/>
    <w:rsid w:val="001D0D96"/>
    <w:rsid w:val="001D46D4"/>
    <w:rsid w:val="001F37FF"/>
    <w:rsid w:val="00214C6A"/>
    <w:rsid w:val="00247974"/>
    <w:rsid w:val="00272C16"/>
    <w:rsid w:val="00282C32"/>
    <w:rsid w:val="00292D59"/>
    <w:rsid w:val="00293B57"/>
    <w:rsid w:val="00295FDC"/>
    <w:rsid w:val="002B7503"/>
    <w:rsid w:val="002D382A"/>
    <w:rsid w:val="00322628"/>
    <w:rsid w:val="00330FCB"/>
    <w:rsid w:val="00333B36"/>
    <w:rsid w:val="003A19AD"/>
    <w:rsid w:val="003B7C86"/>
    <w:rsid w:val="003C3C30"/>
    <w:rsid w:val="003F30EF"/>
    <w:rsid w:val="00412AA0"/>
    <w:rsid w:val="004843F1"/>
    <w:rsid w:val="0048492C"/>
    <w:rsid w:val="00485467"/>
    <w:rsid w:val="004B4497"/>
    <w:rsid w:val="004C6F28"/>
    <w:rsid w:val="004D6776"/>
    <w:rsid w:val="004F32F6"/>
    <w:rsid w:val="005133EF"/>
    <w:rsid w:val="00530285"/>
    <w:rsid w:val="00535227"/>
    <w:rsid w:val="005527D4"/>
    <w:rsid w:val="0057091A"/>
    <w:rsid w:val="00580BE1"/>
    <w:rsid w:val="005825B7"/>
    <w:rsid w:val="00596CFF"/>
    <w:rsid w:val="005A0C66"/>
    <w:rsid w:val="005D3C35"/>
    <w:rsid w:val="006035B7"/>
    <w:rsid w:val="00616D6D"/>
    <w:rsid w:val="00630C95"/>
    <w:rsid w:val="00634644"/>
    <w:rsid w:val="00637C1A"/>
    <w:rsid w:val="00651385"/>
    <w:rsid w:val="00670B64"/>
    <w:rsid w:val="006757E7"/>
    <w:rsid w:val="00676C6C"/>
    <w:rsid w:val="00683A4D"/>
    <w:rsid w:val="006C3CC2"/>
    <w:rsid w:val="00701245"/>
    <w:rsid w:val="00710231"/>
    <w:rsid w:val="007250F7"/>
    <w:rsid w:val="00756D98"/>
    <w:rsid w:val="00771EF9"/>
    <w:rsid w:val="007A30BB"/>
    <w:rsid w:val="007A578E"/>
    <w:rsid w:val="007D7CDD"/>
    <w:rsid w:val="007E4BDB"/>
    <w:rsid w:val="007F3473"/>
    <w:rsid w:val="00841799"/>
    <w:rsid w:val="00851D4F"/>
    <w:rsid w:val="00865C84"/>
    <w:rsid w:val="008B0126"/>
    <w:rsid w:val="008E4E9E"/>
    <w:rsid w:val="00917F40"/>
    <w:rsid w:val="00923F75"/>
    <w:rsid w:val="00935E01"/>
    <w:rsid w:val="00995024"/>
    <w:rsid w:val="009A2871"/>
    <w:rsid w:val="009D7395"/>
    <w:rsid w:val="009F1085"/>
    <w:rsid w:val="00A269F1"/>
    <w:rsid w:val="00A308B4"/>
    <w:rsid w:val="00A37C03"/>
    <w:rsid w:val="00A54E29"/>
    <w:rsid w:val="00A6413D"/>
    <w:rsid w:val="00A83397"/>
    <w:rsid w:val="00A8477D"/>
    <w:rsid w:val="00A9596D"/>
    <w:rsid w:val="00AB3AEA"/>
    <w:rsid w:val="00AB7045"/>
    <w:rsid w:val="00AD3429"/>
    <w:rsid w:val="00AF0F13"/>
    <w:rsid w:val="00B411DF"/>
    <w:rsid w:val="00B478DC"/>
    <w:rsid w:val="00B52C63"/>
    <w:rsid w:val="00B6738B"/>
    <w:rsid w:val="00B9020C"/>
    <w:rsid w:val="00BA07EB"/>
    <w:rsid w:val="00BA0E23"/>
    <w:rsid w:val="00C10B13"/>
    <w:rsid w:val="00C22A03"/>
    <w:rsid w:val="00C2683C"/>
    <w:rsid w:val="00C5507C"/>
    <w:rsid w:val="00C6067F"/>
    <w:rsid w:val="00C71C65"/>
    <w:rsid w:val="00C76195"/>
    <w:rsid w:val="00C77ADF"/>
    <w:rsid w:val="00C83F86"/>
    <w:rsid w:val="00C97C73"/>
    <w:rsid w:val="00CA562D"/>
    <w:rsid w:val="00CC36D5"/>
    <w:rsid w:val="00CC3C7D"/>
    <w:rsid w:val="00CC67B1"/>
    <w:rsid w:val="00CD4F8B"/>
    <w:rsid w:val="00CF0AA4"/>
    <w:rsid w:val="00D06CB7"/>
    <w:rsid w:val="00D44B94"/>
    <w:rsid w:val="00D527F0"/>
    <w:rsid w:val="00DA2A77"/>
    <w:rsid w:val="00DC0C5A"/>
    <w:rsid w:val="00DD0CA1"/>
    <w:rsid w:val="00DE21DB"/>
    <w:rsid w:val="00DE3CFE"/>
    <w:rsid w:val="00E14D2C"/>
    <w:rsid w:val="00EB17BE"/>
    <w:rsid w:val="00EE4954"/>
    <w:rsid w:val="00EF1FF8"/>
    <w:rsid w:val="00F0160C"/>
    <w:rsid w:val="00F5399E"/>
    <w:rsid w:val="00F648F6"/>
    <w:rsid w:val="00F941AC"/>
    <w:rsid w:val="00F94FC1"/>
    <w:rsid w:val="00FA2BE6"/>
    <w:rsid w:val="00FA7CCB"/>
    <w:rsid w:val="00FC3EF8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7"/>
    <o:shapelayout v:ext="edit">
      <o:idmap v:ext="edit" data="1"/>
    </o:shapelayout>
  </w:shapeDefaults>
  <w:decimalSymbol w:val=","/>
  <w:listSeparator w:val=";"/>
  <w14:docId w14:val="1A64888E"/>
  <w15:docId w15:val="{7863A405-41C0-47D7-8A5F-5F60480B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56D98"/>
    <w:rPr>
      <w:rFonts w:ascii="Times New Roman" w:hAnsi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basedOn w:val="Standardskrifttypeiafsnit"/>
    <w:rsid w:val="007A578E"/>
    <w:rPr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basedOn w:val="Standardskrifttypeiafsnit"/>
    <w:rsid w:val="009F1085"/>
    <w:rPr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basedOn w:val="Standardskrifttypeiafsnit"/>
    <w:link w:val="Normal-Lokaladresse"/>
    <w:rsid w:val="007250F7"/>
    <w:rPr>
      <w:rFonts w:ascii="Arial" w:hAnsi="Arial"/>
      <w:b/>
      <w:caps/>
      <w:sz w:val="14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C6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sitad.dk\dfs\CU2531\grupper\skabeloner\Office365\nota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EE0D6-596F-4579-B70B-034692B6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0</TotalTime>
  <Pages>1</Pages>
  <Words>507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DATO / 29</vt:lpstr>
      <vt:lpstr>DATO / 29</vt:lpstr>
    </vt:vector>
  </TitlesOfParts>
  <Company>skabelondesign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creator>Helene Hansen DFI</dc:creator>
  <cp:lastModifiedBy>Tina Berg DFI</cp:lastModifiedBy>
  <cp:revision>2</cp:revision>
  <cp:lastPrinted>2006-04-20T12:07:00Z</cp:lastPrinted>
  <dcterms:created xsi:type="dcterms:W3CDTF">2025-04-10T06:27:00Z</dcterms:created>
  <dcterms:modified xsi:type="dcterms:W3CDTF">2025-04-10T06:27:00Z</dcterms:modified>
</cp:coreProperties>
</file>